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XIII/193/25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21 maja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przekazania petycji według właściwości</w:t>
      </w:r>
    </w:p>
    <w:p w:rsidR="00A77B3E" w:rsidRDefault="00000000">
      <w:pPr>
        <w:keepLines/>
        <w:spacing w:after="120"/>
        <w:ind w:firstLine="794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1465 z </w:t>
      </w:r>
      <w:proofErr w:type="spellStart"/>
      <w:r>
        <w:t>późn</w:t>
      </w:r>
      <w:proofErr w:type="spellEnd"/>
      <w:r>
        <w:t>. zm.) oraz art. 6 ust. 1 ustawy z dnia 11 lipca 2014 r. o petycjach (</w:t>
      </w:r>
      <w:proofErr w:type="spellStart"/>
      <w:r>
        <w:t>t.j</w:t>
      </w:r>
      <w:proofErr w:type="spellEnd"/>
      <w:r>
        <w:t>. Dz.</w:t>
      </w:r>
      <w:r w:rsidR="00636B57">
        <w:t xml:space="preserve"> </w:t>
      </w:r>
      <w:r>
        <w:t>U. z 2018 r. poz. 870) - Rada Miejska w Żabnie uchwala,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Rada Miejska w Żabnie uznaje się za niewłaściwą do rozpatrzenia petycji wniesionej w dniu </w:t>
      </w:r>
      <w:r>
        <w:br/>
        <w:t xml:space="preserve">10 marca 2025 r. w obronie konstytucyjnej zasady niezawisłości i niezależności sędziów polskich. 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Przekazuje się petycję do załatwienia zgodnie z kompetencją do Sejmu Rzeczypospolitej Polskiej. 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Uzasadnienie przekazania petycji według właściwości stanowi załącznik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Zobowiązuje się Przewodniczącego Rady Miejskiej w Żabnie do zawiadomienia wnoszącego petycję o jej przekazaniu zgodnie z właściwością.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6301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01C" w:rsidRDefault="0046301C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01C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 w:rsidSect="00636B57">
          <w:footerReference w:type="default" r:id="rId6"/>
          <w:endnotePr>
            <w:numFmt w:val="decimal"/>
          </w:endnotePr>
          <w:pgSz w:w="11906" w:h="16838"/>
          <w:pgMar w:top="1135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spacing w:after="120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XIII/193/25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21 maja 2025 r.</w:t>
      </w:r>
    </w:p>
    <w:p w:rsidR="00A77B3E" w:rsidRDefault="00000000">
      <w:pPr>
        <w:spacing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dniu 10 marca 2025 r. do Biura Rady Miejskiej w Żabnie wpłynęła petycja z dnia 5 marca 2025 r. złożona przez Zarząd Ogólnopolskiego Zrzeszenia Sędziów AEQUITAS w interesie publicznym </w:t>
      </w:r>
      <w:r>
        <w:rPr>
          <w:color w:val="000000"/>
          <w:u w:color="000000"/>
        </w:rPr>
        <w:br/>
        <w:t xml:space="preserve">w obronie konstytucyjnej zasady niezawisłości i niezależności sędziów polskich. Petycja została przekazana do Komisji Skarg, Wniosków i Petycji, zwanej dalej Komisją. W toku przeprowadzonego postępowania wyjaśniającego Komisja na posiedzeniu w dniu 21 maja 2025 r. dokonała następujących ustaleń prawnych i faktycznych. Otóż zgodnie z art. 2 ust. 1 ustawy o petycjach, petycja może być złożona przez osobę fizyczną, osobę prawną, jednostkę organizacyjną niebędącą osobą prawną lub grupę tych podmiotów, do organu władzy publicznej, a także organizacji lub instytucji społecznej </w:t>
      </w:r>
      <w:r>
        <w:rPr>
          <w:color w:val="000000"/>
          <w:u w:color="000000"/>
        </w:rPr>
        <w:br/>
        <w:t xml:space="preserve">w związku z wykonywanymi przez nią zadaniami zleconymi z zakresu administracji publicznej. Jednocześnie w świetle art. 2 ust. 3 powołanej ustawy, przedmiotem petycji może być żądanie, </w:t>
      </w:r>
      <w:r>
        <w:rPr>
          <w:color w:val="000000"/>
          <w:u w:color="000000"/>
        </w:rPr>
        <w:br/>
        <w:t>w szczególności zmiany przepisów prawa, podjęcia rozstrzygnięcia lub innego działania w sprawi</w:t>
      </w:r>
      <w:r>
        <w:rPr>
          <w:color w:val="000000"/>
          <w:u w:color="000000"/>
        </w:rPr>
        <w:br/>
        <w:t xml:space="preserve">e dotyczącej podmiotu wnoszącego petycję, życia zbiorowego lub wartości wymagającej szczególnej ochrony w imię dobra wspólnego, mieszczącego się w zakresie zadań i kompetencji adresata petycji. Adresatem petycji w znaczeniu formalnym jest każdy podmiot, do którego zostało skierowane pismo będące petycją (art. 4 ust. 2 pkt 3). Należy jednak podkreślić, że adresat petycji jest zobowiązany do zbadania swojej właściwości, jak bowiem wynika z art. 6 ust. 1 ustawy o petycjach, adresat petycji, który jest niewłaściwy do jej rozpatrzenia, przesyła ją do podmiotu właściwego do rozpatrzenia petycji, zawiadamiając o tym równocześnie podmiot wnoszący petycję. Wnoszący petycję jako podstawę rozpatrzenia przez radę gminy wskazał  art. 7 ust. 1 pkt 14   ustawy z dnia 8 marca 1990 r. o samorządzie gminnym (dalej </w:t>
      </w:r>
      <w:proofErr w:type="spellStart"/>
      <w:r>
        <w:rPr>
          <w:color w:val="000000"/>
          <w:u w:color="000000"/>
        </w:rPr>
        <w:t>u.s.g</w:t>
      </w:r>
      <w:proofErr w:type="spellEnd"/>
      <w:r>
        <w:rPr>
          <w:color w:val="000000"/>
          <w:u w:color="000000"/>
        </w:rPr>
        <w:t xml:space="preserve">.), zgodnie z którym  „zaspokajanie zbiorowych potrzeb wspólnoty należy do zadań własnych gminy. W szczególności zadania własne obejmują sprawy porządku publicznego i bezpieczeństwa obywateli oraz ochrony przeciwpożarowej i przeciwpowodziowej, w tym wyposażenia i utrzymania gminnego magazynu przeciwpowodziowego". Jednak przepis ten, jak cały art. 7 ust. 1   </w:t>
      </w:r>
      <w:proofErr w:type="spellStart"/>
      <w:r>
        <w:rPr>
          <w:color w:val="000000"/>
          <w:u w:color="000000"/>
        </w:rPr>
        <w:t>u.s.g</w:t>
      </w:r>
      <w:proofErr w:type="spellEnd"/>
      <w:r>
        <w:rPr>
          <w:color w:val="000000"/>
          <w:u w:color="000000"/>
        </w:rPr>
        <w:t xml:space="preserve">., nie kształtuje uprawnienia rady miejskiej do podejmowania uchwał w określonym zakresie, lecz wskazuje na katalog zadań własnych gminy. Zadania te następnie są uszczegóławiane w odrębnych przepisach lub odrębnych aktach prawnych, które określają uprawnienia poszczególnych organów gminy, w tym rady gminy. Co do zasady, podejmowanie przez radę gminy uchwał musi mieścić się w katalogu spraw określonych w art. 18 ust. 2   </w:t>
      </w:r>
      <w:proofErr w:type="spellStart"/>
      <w:r>
        <w:rPr>
          <w:color w:val="000000"/>
          <w:u w:color="000000"/>
        </w:rPr>
        <w:t>u.s.g</w:t>
      </w:r>
      <w:proofErr w:type="spellEnd"/>
      <w:r>
        <w:rPr>
          <w:color w:val="000000"/>
          <w:u w:color="000000"/>
        </w:rPr>
        <w:t xml:space="preserve">., względnie - stosownie do pkt 15 w przywołanym art. 18 ust. 2   </w:t>
      </w:r>
      <w:proofErr w:type="spellStart"/>
      <w:r>
        <w:rPr>
          <w:color w:val="000000"/>
          <w:u w:color="000000"/>
        </w:rPr>
        <w:t>u.s.g</w:t>
      </w:r>
      <w:proofErr w:type="spellEnd"/>
      <w:r>
        <w:rPr>
          <w:color w:val="000000"/>
          <w:u w:color="000000"/>
        </w:rPr>
        <w:t xml:space="preserve">. - być określone w przepisach odrębnych. </w:t>
      </w:r>
    </w:p>
    <w:p w:rsidR="00A77B3E" w:rsidRDefault="00000000">
      <w:pPr>
        <w:spacing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Jak ustaliła Komisja, zapewnienie bezpieczeństwa obywateli jest zadaniem własnym gminy. Jest to, co prawda, pojęcie o szerokim znaczeniu, bowiem może obejmować różne sfery funkcjonowania jednostki i być realizowane różnymi metodami; nie oznacza to jednak, że JST może podejmować rozstrzygnięcia, które w istocie rzeczy nie służą realizacji ww. zadania własnego, a w istocie rzeczy sprowadzają się do sprawowania władzy uchwałodawczej. Tym samym, w świetle żądań przedstawionych w petycji wskazać należy, że przepis  art. 7 ust. 1 pkt 14   </w:t>
      </w:r>
      <w:proofErr w:type="spellStart"/>
      <w:r>
        <w:rPr>
          <w:color w:val="000000"/>
          <w:u w:color="000000"/>
        </w:rPr>
        <w:t>u.s.g</w:t>
      </w:r>
      <w:proofErr w:type="spellEnd"/>
      <w:r>
        <w:rPr>
          <w:color w:val="000000"/>
          <w:u w:color="000000"/>
        </w:rPr>
        <w:t xml:space="preserve">. nie może stanowić samodzielnej podstawy prawnej do podjęcia uchwały, mocą której rada miejska wyrazi protest wobec projektów ustaw zakładających usunięcie i zdegradowanie ustawą sędziów sądów powszechnych w Polsce, powołanych przez Prezydenta Rzeczypospolitej Polskiej. Należy podkreślić, że zadanie publiczne związane z nominacjami sędziów oraz uchwalanie regulacji ustrojowych sądownictwa jest przypisane do właściwości rzeczowej – odpowiednio Prezydentowi RP oraz parlamentowi. Na uwagę zasługuje  art.   179 Konstytucji RP (Dz. U. z 1997 r., Nr. 78, poz. 483.) gdzie postanowiono, że sędziowie są powoływani przez Prezydenta Rzeczypospolitej, na wniosek Krajowej Rady Sądownictwa, na czas nieoznaczony oraz art.  10.  [Zasada podziału władz] 1. Ustrój Rzeczypospolitej Polskiej opiera się na podziale i równowadze władzy ustawodawczej, władzy wykonawczej i władzy sądowniczej. 2. Władzę ustawodawczą sprawują Sejm i Senat, władzę wykonawczą Prezydent Rzeczypospolitej Polskiej i Rada Ministrów, a władzę sądowniczą sądy i trybunały. </w:t>
      </w:r>
    </w:p>
    <w:p w:rsidR="00A77B3E" w:rsidRDefault="00000000">
      <w:pPr>
        <w:keepNext/>
        <w:keepLines/>
        <w:spacing w:after="120"/>
        <w:ind w:firstLine="794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związku z powyższym, na podstawie art. 6 ust. 2 ustawy o petycjach, wniesiona petycja przekazana zostaje zgodnie z właściwością do rozpatrzenia przez organ posiadający kompetencje do jej rozpoznania, czyli do Sejmu RP.</w:t>
      </w:r>
    </w:p>
    <w:p w:rsidR="00A77B3E" w:rsidRDefault="00A77B3E">
      <w:pPr>
        <w:keepNext/>
        <w:keepLines/>
        <w:spacing w:after="120"/>
        <w:ind w:firstLine="794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6301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01C" w:rsidRDefault="0046301C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01C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255289">
      <w:footerReference w:type="default" r:id="rId7"/>
      <w:endnotePr>
        <w:numFmt w:val="decimal"/>
      </w:endnotePr>
      <w:pgSz w:w="11906" w:h="16838"/>
      <w:pgMar w:top="1418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DEC" w:rsidRDefault="00EE7DEC">
      <w:r>
        <w:separator/>
      </w:r>
    </w:p>
  </w:endnote>
  <w:endnote w:type="continuationSeparator" w:id="0">
    <w:p w:rsidR="00EE7DEC" w:rsidRDefault="00EE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6301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301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82FEC58A-DD5F-4698-A72B-A3FA69FBA45F.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301C" w:rsidRDefault="0046301C">
          <w:pPr>
            <w:jc w:val="right"/>
            <w:rPr>
              <w:sz w:val="18"/>
            </w:rPr>
          </w:pPr>
        </w:p>
      </w:tc>
    </w:tr>
  </w:tbl>
  <w:p w:rsidR="0046301C" w:rsidRDefault="0046301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6301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301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82FEC58A-DD5F-4698-A72B-A3FA69FBA45F.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301C" w:rsidRDefault="0046301C">
          <w:pPr>
            <w:jc w:val="right"/>
            <w:rPr>
              <w:sz w:val="18"/>
            </w:rPr>
          </w:pPr>
        </w:p>
      </w:tc>
    </w:tr>
  </w:tbl>
  <w:p w:rsidR="0046301C" w:rsidRDefault="004630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DEC" w:rsidRDefault="00EE7DEC">
      <w:r>
        <w:separator/>
      </w:r>
    </w:p>
  </w:footnote>
  <w:footnote w:type="continuationSeparator" w:id="0">
    <w:p w:rsidR="00EE7DEC" w:rsidRDefault="00EE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55289"/>
    <w:rsid w:val="0032687A"/>
    <w:rsid w:val="0046301C"/>
    <w:rsid w:val="00636B57"/>
    <w:rsid w:val="00A77B3E"/>
    <w:rsid w:val="00CA2A55"/>
    <w:rsid w:val="00E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A513F"/>
  <w15:docId w15:val="{C283A8A1-B360-425F-B5CF-A6D7C71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XIII/193/25 z dnia 21 maja 2025 r.</dc:title>
  <dc:subject>w sprawie przekazania petycji według właściwości</dc:subject>
  <dc:creator>Mateusz Libera</dc:creator>
  <cp:lastModifiedBy>Mateusz Libera</cp:lastModifiedBy>
  <cp:revision>3</cp:revision>
  <cp:lastPrinted>2025-05-23T09:28:00Z</cp:lastPrinted>
  <dcterms:created xsi:type="dcterms:W3CDTF">2025-05-23T11:27:00Z</dcterms:created>
  <dcterms:modified xsi:type="dcterms:W3CDTF">2025-05-23T09:28:00Z</dcterms:modified>
  <cp:category>Akt prawny</cp:category>
</cp:coreProperties>
</file>