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VIII/122/24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ustalenia Procedury przyjmowania zgłoszeń zewnętrznych oraz podejmowania działań następczych przez Radę Miejską w Żabnie.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(t.j. Dz.U. z 2024 r. poz. 1465 z późn. zm.) oraz art. 33 ustawy z dnia 14 czerwca 2024 r. o ochronie sygnalistów (Dz.U. z 2024 r. poz. 928) uchwala się,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Ustala się „Procedurę przyjmowania zgłoszeń zewnętrznych oraz podejmowania działań następczych przez Radę Miejską w Żabnie’’, stanowiącą załącznik do niniejszej uchwały. 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realizacji zadań polegających na: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przyjmowaniu zgłoszeń zewnętrznych,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ich wstępnej weryfikacji,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podejmowaniu działań następczych,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prowadzeniu rejestru zgłoszeń zewnętrznych,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komunikacji z sygnalistą,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koordynacji innych działań wynikających z ustawy,  upoważnia się działającą przy Radzie Miejskiej w Żabnie, Komisję Skarg Wniosków i Petycji.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Przewodniczącemu Komisji Skarg Wniosków i Petycji.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 z mocą obowiązującą od dnia 25 grudnia 2024 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7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VIII/122/24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PROCEDURA PRZYJMOWANIA ZGŁOSZEŃ ZEWNĘTRZNYCH ORAZ PODEJMOWANIA DZIAŁAŃ NASTĘPCZYCH PRZEZ RADĘ MIEJSKĄ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Procedura zgłoszeń zewnętrznych określa zasady przyjmowania zgłoszeń zewnętrznych oraz podejmowania działań następczych w trybie ustawy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o ochronie sygnalistów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(dalej: ustawa).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Zadania związane z: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przyjmowaniem zgłoszeń zewnętrznych,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ich wstępną weryfikacją,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podejmowaniem działań następczych,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prowadzeniem rejestru zgłoszeń zewnętrznych,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komunikacją z sygnalistą,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koordynacją innych działań wynikających z ustawy,</w:t>
      </w:r>
    </w:p>
    <w:p w:rsidR="00A77B3E">
      <w:pPr>
        <w:keepNext w:val="0"/>
        <w:keepLines w:val="0"/>
        <w:spacing w:before="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powierza się Komisji Skarg Wniosków i Petycji, zwanej dalej Koordynatorem.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może wyznaczyć ze swojego składu osoby upoważnione do wykonywania czynności przewidzianych ustawą i procedurą, w tym do wykonywania zadań przewidzianych w procedurze dla Koordynatora.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Sygnalistą jest osoba fizyczna, o której mowa w art. 4 ustawy.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następujące kanały komunikacji w celu przekazywania zgłoszeń przez sygnalistę: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wyłącznie w formie pisemnej w dwóch kopertach, z których koperta zewnętrzna jest zaadresowana Rada Miejska w Żabnie ul. Władysława Jagiełły 1, 33-240 Żabno natomiast na kopercie wewnętrznej należy dodać jeden z dopisków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„Zgłoszenie zewnętrzne od sygnalisty - nie otwierać na dzienniku”, „Sygnalista”, „Zgłoszenie zewnętrzne”.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Przyjmowane są wyłącznie zgłoszenia podpisane z podaniem pełnego adresu zamieszkania. Nie jest nadawany bieg zgłoszeniom anonimowym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celu umożliwienia realizacji przez Koordynatora obowiązków informacyjnych wobec sygnalisty, dokonując zgłoszenia sygnalista musi podać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kontaktu adres korespondencyjny lub poczty elektronicznej. Brak podania adresu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korespondencji nie wstrzymuje działań następczych innych niż obowiązki informacyjne.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gdy zgłoszenie wpłynie za pośrednictwem innego kanału komunikacji –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właściwy pracownik Urzędu Miejskiego w Żabnie przekazuje je niezwłocznie Koordynatorowi, bez wprowadzania zmian w zgłoszeniu.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Procedura obejmuje zgłaszanie informacji o naruszeniach prawa, uzyskanych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kontekście związanym z pracą, dotyczących dziedzin prawnych określonych w art. 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 1 ustawy, w przypadku gdy zgłoszenie dotyczy naruszeń prawa w dziedzinie należącej działania Rady Miejskiej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Zgłoszenie nie może dotyczyć naruszeń w dziedzinie prawa pracy.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Zgłoszenie może dotyczyć uzasadnionego podejrzenia dotyczącego zaistniałego lub potencjalnego naruszenia prawa, do którego doszło lub prawdopodobnie dojść może w organie.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Składanie fałszywych zgłoszeń jest zabronione i podlega sankcjom karnym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zgłoszenie spełnia wymagania ustawy i procedury, Koordynator przekazuje sygnaliście potwierdzenie przyjęcia zgłoszenia zewnętrznego w terminie 7 dni od dnia jego otrzymania.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zgłoszenie nie spełnia wymagań ustawy lub procedury, Koordynator przekazuje zgłaszającemu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terminie 14 dni od dnia otrzymania zgłoszenia, informację że zgłoszenie nie podlega rozpatrzeniu w trybie ustawy. Koordynator może dodatkowo poinformować zgłaszającego, że informacja objęta zgłoszeniem podlega rozpatrzeniu w trybie przewidzianym w przepisach odrębnych, z pouczeniem, że przekazana informacja nie wpływa w szczególności na dopuszczalność wniesienia środka prawnego w trybie odrębnym, na bieg terminów ani na treść rozstrzygnięcia lub sposób zakończenia postępowania.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przekazuje sygnaliście informację zwrotną o wynikach postępowania wyjaśniającego oraz podjętych dalszych działaniach następczych w terminie nieprzekraczającym 3 miesięcy od dnia przyjęcia zgłoszenia zewnętrznego.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uzasadnionych przypadkach Koordynator przekazuje sygnaliście informację zwrotną w terminie nieprzekraczającym 6 miesięcy od dnia przyjęcia zgłoszenia zewnętrznego, po poinformowaniu o tym sygnalisty przed upływem terminu, o którym mowa w ust. 4.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wstępna weryfikacja wykaże, że dla rozpatrzenia zgłoszenia właściwy jest inny organ publiczny, Koordynator: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przekazuje zgłoszenie do właściwego organu niezwłoczne, nie później jednak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terminie 14 dni od dnia dokonania zgłoszenia, a w uzasadnionych przypadkach – nie później niż w terminie 30 dni,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informuje o tym sygnalistę, w terminie 14 dni, wskazując przynajmniej organ publiczny, do którego przekazano zgłoszenie, i datę przekazania, chyba że nie jest znany adres do kontaktu.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informuje sygnalistę także o ostatecznym wyniku postępowań wyjaśniających wszczętych na skutek zgłoszenia zewnętrznego.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podejmuje działania następcze wobec każdego zgłoszenia przyjętego do rozpatrzenia.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Działania następcze obejmują fazy: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wstępnej oceny zgłoszenia, w celu przygotowana postępowania wyjaśniającego,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postępowania wyjaśniającego, którego celem jest ustalenie stanu faktycznego i ocena prawdziwości informacji zawartych w zgłoszeniu,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dalszych działań następczych, które mają na celu przeciwdziałanie skutkom i przyczynom naruszeniu prawa lub obniżenie ryzyka naruszenia prawa.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wstępna ocena zgłoszenia wykaże, że zawiera ono informacje, które na mocy odrębnych przepisów podlegają przekazaniu do właściwych instytucji, organów lub jednostek organizacyjnych Unii Europejskiej, to Koordynator realizuje obowiązek wskazany w art. 39 ust. 4 ustawy.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wstępna ocena zgłoszenia wskaże na zasadność powierzenia postępowania wyjaśniającego innej jednostce, Koordynator działając w imieniu Rady Miejskiej w Żabnie, może przekazać takie zgłoszenie: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jednostce organizacyjnej podległej lub nadzorowanej,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innej jednostce organizacyjnej, której powierzono zadania w drodze porozumienia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wyjątkiem jednostki organizacyjnej, której dotyczy zgłoszenie.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 przeprowadzeniu postępowania wyjaśniającego jednostka, o której mowa w ust. 4, przekazuje Koordynatorowi protokół ustaleń lub odpowiedni dokument wynikający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przepisów odrębnych, w celu podjęcia dalszych działań takich działań następczych,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propozycjami takich działań.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celu wyjaśnienia zgłoszenia Koordynator może korzystać z pomocy wewnętrznych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zewnętrznych ekspertów.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Postępowanie wyjaśniające prowadzone jest: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podstawie i zgodnie z przepisami odrębnych ustaw, regulujących czynności kontrolne, nadzorcze, wyjaśniające i podobne w przedmiocie zgłoszenia,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uwzględnieniem przepisów ustawy ochronie sygnalistów w zakresie zasady należytej staranności, komunikacji z sygnalistą, ochrony tożsamości sygnalisty, ochrony tożsamości osoby, której dotyczy zgłoszenie i ochrony innych informacji przewidzianych ustawą.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 zakończeniu czynności Koordynator sporządza protokół zawierający opis stanu faktycznego oraz wnioski w zakresie potwierdzenia naruszenia prawa. Do protokołu Koordynator dołącza propozycje dalszych działań następczych.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Protokół jest przedkładany za pośrednictwem Koordynatora, Radzie Miejskiej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Rada Miejska w Żabnie może zwrócić protokół do Koordynatora w celu przeprowadzenia dodatkowych czynności, nie może jednak samodzielnie ingerować w jego treść.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Rada Miejska w Żabnie zatwierdza protokół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określa dalsze działania następcze, jeżeli postępowanie wyjaśniające stwierdziło naruszenie prawa lub wskazało na ryzyko występowania naruszeń prawa.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Zatwierdzenie protokołu kończy postępowanie wyjaśniające.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Rada Miejska w Żabnie może określić dodatkowe dalsze działania następcze także później.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ustawowej ochrony przed działaniami odwetowymi za dokonanie zgłoszenia, a także próbami i groźbami takich działań, korzysta: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sygnalista,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osoby pomagające mu w dokonaniu zgłoszenia,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osoby powiązane z sygnalistą.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Niniejszą procedurą wprowadza się dodatkowo wewnętrzną ochronę przed działaniami odwetowymi, a także próbami i groźbami takich działań w stosunku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osób wykonujących czynności przewidziane procedurą.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gdy osoba wymieniona w ust. 1 i 2 spotyka się z działaniami, które odczytuje jako działania odwetowe, groźby lub próby takich działań, informuje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Koordynatora, który wyjaśnia sprawę i podejmuje stosowne kroki.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prowadzi działania informacyjne związane ze stosowaniem ustawy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procedury. W szczególności opracowuje informację na temat zgłoszeń zewnętrznych, o której mowa w art. 48 ustawy.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przygotowuje projekty sprawozdań, o których mowa w art. 47 ustawy.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Koordynator dokonuje przeglądów procedur, o których mowa w art. 49 ustawy.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Wzór potwierdzenia przyjęcia zgłoszenia zewnętrznego lub przekazania sygnaliście innej informacji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Znak sprawy: …………………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……………………………………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podmiotu publicznego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……………………………………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sygnalisty i adres do kontaktu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Dotyczy zgłoszenia z dnia: 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Szanowna Pani/Szanowny Panie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Działając w trybie § 5 procedury zgłoszeń zewnętrznych, uprzejmie informuję,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że zgłoszenie naruszenia prawa, które zostało przekazane przez Panią/Pana za pomocą 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(sposób przekazania zgłoszenia)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w dniu ………………………, a które wpłynęło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(nazwa podmiotu)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w dniu ………………………, zostało poddane ocenie formalnoprawnej.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 jej wyniku uznano, że zgłoszenie: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(należy wybrać właściwą formułę)</w:t>
      </w:r>
    </w:p>
    <w:p w:rsidR="00A77B3E">
      <w:pPr>
        <w:keepNext w:val="0"/>
        <w:keepLines/>
        <w:spacing w:before="0" w:after="120" w:line="240" w:lineRule="auto"/>
        <w:ind w:left="283" w:right="0" w:hanging="28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A.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spełnia wymagania ustawy o ochronie sygnalistów oraz procedury i zostało przyjęte do rozpatrzenia (można podać dodatkowo numer, pod którym zgłoszenie zostało zarejestrowane w rejestrze zgłoszeń).</w:t>
      </w:r>
    </w:p>
    <w:p w:rsidR="00A77B3E">
      <w:pPr>
        <w:keepNext w:val="0"/>
        <w:keepLines/>
        <w:spacing w:before="0" w:after="120" w:line="240" w:lineRule="auto"/>
        <w:ind w:left="283" w:right="0" w:hanging="28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B.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spełnia wymagań ustawy o ochronie sygnalistów oraz procedury zgłoszeń wewnętrznych i podlega rozpatrzeniu w trybie odrębnym wskazanym w procedurze.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związku z tym zostało przekazane w celu rozpatrzenia w trybie ……………………...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……………………... .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C.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spełnia wymagań ustawy o ochronie sygnalistów oraz procedury, a w związku z tym nie podlega rozpatrzeniu w trybie ustawy.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Jednocześnie informuję, że sprawa będąca przedmiotem zgłoszenia może zostać rozpatrzona w trybie odrębnym, na podstawie przepisów ……………………...……………………...……………………...…………………………przez ……………………...……………………... 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celu zapewnienia ochrony poufności Pani/Pana tożsamości nie przekazaliśmy zgłoszenia samodzielnie, zostawiając decyzję Pani/Panu.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Pouczenie: niniejsza informacja nie wpływa w szczególności na dopuszczalność wniesienia środka prawnego w trybie odrębnym, na bieg terminów ani na treść rozstrzygnięcia lub sposób zakończenia postępowania.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podjęte czynności nie przysługują środki odwoławcze ani skarga do sądu administracyjnego.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……………………...……………………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Podpis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Wzór informacji zwrotnej do sygnalisty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(Zgłoszenie zewnętrzne)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Znak sprawy: …………………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……………………………………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podmiotu publicznego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……………………………………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sygnalisty i adres do kontaktu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Dotyczy zgłoszenia z dnia: ……………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Szanowna Pani/Szanowny Panie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podstawie art. 34 ust. 1 pkt 6 ustawy o ochronie sygnalistów przekazuję informację zwrotną na temat podjętych i planowanych działań następczych i powodów takich działań.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Wyniki postępowania wyjaśniającego ……………………...……………………………………………………...…………………………………...……………………………………………………...…………………………………...……………………………………………………...………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Podjęte dalsze działania następcze: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...……………………………………………………...…………………………………...……………………………………………………...…………………………………...……………………………………………………...………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Planowane dalsze działania następcze: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...……………………………………………………...…………………………………...……………………………………………………...…………………………………...……………………………………………………...……………………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……………………...……………</w:t>
      </w:r>
    </w:p>
    <w:p w:rsidR="00A77B3E">
      <w:pPr>
        <w:keepNext/>
        <w:keepLines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Podpis</w:t>
      </w:r>
    </w:p>
    <w:p w:rsidR="00A77B3E">
      <w:pPr>
        <w:keepNext/>
        <w:keepLines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04EEBF30-A960-4EDA-B9AF-61A84DB6B2DA.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04EEBF30-A960-4EDA-B9AF-61A84DB6B2DA.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VIII/122/24 z dnia 30 grudnia 2024 r.</dc:title>
  <dc:subject>w sprawie ustalenia Procedury przyjmowania zgłoszeń zewnętrznych oraz podejmowania działań następczych przez Radę Miejską w^Żabnie.</dc:subject>
  <dc:creator>Mateusz Libera</dc:creator>
  <cp:lastModifiedBy>Mateusz Libera</cp:lastModifiedBy>
  <cp:revision>1</cp:revision>
  <dcterms:created xsi:type="dcterms:W3CDTF">2025-01-02T15:17:53Z</dcterms:created>
  <dcterms:modified xsi:type="dcterms:W3CDTF">2025-01-02T15:17:53Z</dcterms:modified>
  <cp:category>Akt prawny</cp:category>
</cp:coreProperties>
</file>