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VI/76/24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 określenia wysokości dziennych stawek opłaty  targowej, zasad ustalania i poboru oraz terminów płatności i zarządzenia jej poboru w drodze inkasa oraz określenia inkasentów i wysokości wynagrodzenia za inkaso na 2025 rok.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8,art.40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poz.1465, 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ust.1 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19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lit. a)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stycznia 1991r.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opłatach lokalnych (t.j.Dz.U.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 r., poz.70 ze zm.), w 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tiret 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Obwieszczenia Ministra Finansów,Funduszy i Polityki Regionalnej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25 lipca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górnych granic stawek kwotowych podatków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opłat lokalnych na rok 2025 (M.P.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poz.716), art.47 §4a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Ordynacja podatkowa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2023r. poz.2383 ze zm.) oraz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art.13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lipca 2000r.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ogłaszaniu aktów normatywnych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niektórych innych aktów prawnych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2019 r., poz.1461ze.zm.)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Wprowadza się opłatę targową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ustala się dzienną stawkę opłaty targowej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zajętej powierzchni pod sprzedaż  na terenie Gminy Żabno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wysokości 10.00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Dzienna stawka opłaty targowej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może przekroczyć kwoty 1 126,00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Przez pojęcie „zajęta powierzchnia” należy rozumieć całkowitą powierzchnię zajętą pod sprzedaż jak również powierzchnię zajętą przez sprzedającego,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której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może skorzystać inny sprzedający.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 wyliczeniu wysokości opłaty bierze się pod uwagę każdy rozpoczęty metr kwadratowy powierzchni pod sprzedaż.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Opłatę   targową  pobiera  się  bezpośrednio  od  sprzedającego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dniu  sprzedaży.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Zarządza się pobór opłaty targowej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drodze inkasa.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inkasentów wyznacza się: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 terenie miasta Żabno - Miejski Ludowy Klub Sportowy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Żabnie. Zainkasowane  kwoty 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tytułu  opłaty  targowej, Miejski Ludowy Klub Sportowy  odprowadza 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całości na konto Gminy.Tytułem wynagrodzenia za inkaso Miejski Ludowy Klub Sportowy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 otrzymuje 90% zainkasowanej kwoty.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poszczególnych  sołectwach  na  terenie Gminy Żabno - osoby wymienione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wykazie stanowiącym  załącznik  do niniejszej uchwały.Wynagrodzenie   za   inkaso   opłaty  targowej  będzie  wynosić  30%  zainkasowanej   kwoty.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Cennik   opłaty   targowej   należy   umieścić   na  targowiskach 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widocznym  miejscu.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Wykonanie uchwały powierza się Burmistrzowi Żabna. 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Traci moc uchwała Nr LVIII/784/23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29 listopada                     2023 r.w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określenia wysokości dziennych stawek opłaty targowej, zasad ustalania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poboru oraz terminów płatności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zarządzenia jej poboru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drodze inkasa,oraz określenia inkasentów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wynagrodzenia za inkaso na 2024 rok,ogłoszona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Małopolskiego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r., poz.8336.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Małopolskiego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 dniem 1 stycznia 2025r.</w:t>
      </w:r>
    </w:p>
    <w:p w:rsidR="00A77B3E">
      <w:pPr>
        <w:keepNext/>
        <w:keepLines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</w:p>
    <w:p w:rsidR="00A77B3E">
      <w:pPr>
        <w:keepNext w:val="0"/>
        <w:keepLines w:val="0"/>
        <w:spacing w:before="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spacing w:before="0" w:after="120" w:line="240" w:lineRule="auto"/>
        <w:ind w:left="604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do uchwały Nr VI/76/24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Wykaz inkasentów poboru opłaty targowej: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44"/>
        <w:gridCol w:w="4965"/>
        <w:gridCol w:w="481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Sołectwo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Nazwisko i imię inkasenta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Bobrowniki Wielkie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Stolarczyk Arkadiusz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2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Chorążec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Prząda Joanna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Czyżów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Skowron  Andrzej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Fiuk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Pochroń Katarzyna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Goruszów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Chyc Anna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Gorzyce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Szostek Marek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Ilkowice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Szef Arkadiusz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Janikowice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Kopeć Leszek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Kłyż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Kochańczyk Wiesław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Łęg Tarnowski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Tokarski Mateusz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Nieciecza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Wójcik Tadeusz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Niedomice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Kijowska Sylwia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Odporyszów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Chmura Bogdan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Otfinów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Nowak Kamil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Pasieka Otfinowska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Dudek-Gorla Maria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Pierszyce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Pietrek Marta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Podlesie Dębowe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Kiełbasa Lucyna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 xml:space="preserve">Sieradza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Flis Zbigniew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Siedliszowice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Bieszczad Joanna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Agency FB" w:eastAsia="Agency FB" w:hAnsi="Agency FB" w:cs="Agency FB"/>
              <w:b w:val="0"/>
              <w:sz w:val="18"/>
            </w:rPr>
          </w:pPr>
          <w:r>
            <w:rPr>
              <w:rFonts w:ascii="Agency FB" w:eastAsia="Agency FB" w:hAnsi="Agency FB" w:cs="Agency FB"/>
              <w:b w:val="0"/>
              <w:sz w:val="18"/>
            </w:rPr>
            <w:t>Id: 4CA7B1E6-8737-430E-905E-71331470E578.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Agency FB" w:eastAsia="Agency FB" w:hAnsi="Agency FB" w:cs="Agency FB"/>
              <w:b w:val="0"/>
              <w:sz w:val="18"/>
            </w:rPr>
          </w:pPr>
        </w:p>
      </w:tc>
    </w:tr>
  </w:tbl>
  <w:p>
    <w:pPr>
      <w:rPr>
        <w:rFonts w:ascii="Agency FB" w:eastAsia="Agency FB" w:hAnsi="Agency FB" w:cs="Agency FB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Agency FB" w:eastAsia="Agency FB" w:hAnsi="Agency FB" w:cs="Agency FB"/>
              <w:b w:val="0"/>
              <w:sz w:val="18"/>
            </w:rPr>
          </w:pPr>
          <w:r>
            <w:rPr>
              <w:rFonts w:ascii="Agency FB" w:eastAsia="Agency FB" w:hAnsi="Agency FB" w:cs="Agency FB"/>
              <w:b w:val="0"/>
              <w:sz w:val="18"/>
            </w:rPr>
            <w:t>Id: 4CA7B1E6-8737-430E-905E-71331470E578.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Agency FB" w:eastAsia="Agency FB" w:hAnsi="Agency FB" w:cs="Agency FB"/>
              <w:b w:val="0"/>
              <w:sz w:val="18"/>
            </w:rPr>
          </w:pPr>
        </w:p>
      </w:tc>
    </w:tr>
  </w:tbl>
  <w:p>
    <w:pPr>
      <w:rPr>
        <w:rFonts w:ascii="Agency FB" w:eastAsia="Agency FB" w:hAnsi="Agency FB" w:cs="Agency FB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VI/76/24 z dnia 30 października 2024 r.</dc:title>
  <dc:subject>w sprawie  określenia wysokości dziennych stawek opłaty  targowej, zasad ustalania i^poboru oraz terminów płatności i^zarządzenia jej poboru w^drodze inkasa oraz^określenia inkasentów i^wysokości wynagrodzenia za inkaso na 2025^rok.</dc:subject>
  <dc:creator>Mateusz Libera</dc:creator>
  <cp:lastModifiedBy>Mateusz Libera</cp:lastModifiedBy>
  <cp:revision>1</cp:revision>
  <dcterms:created xsi:type="dcterms:W3CDTF">2024-11-04T14:55:25Z</dcterms:created>
  <dcterms:modified xsi:type="dcterms:W3CDTF">2024-11-04T14:55:25Z</dcterms:modified>
  <cp:category>Akt prawny</cp:category>
</cp:coreProperties>
</file>