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V/49/24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wyznaczenia obszaru zdegradowanego i obszaru rewitalizacji Gminy Żabno.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 (t.j. Dz. U. z 2024 r. poz. 609) oraz art. 8 ust. 1 i art. 11 ust. 4 i art. 13 ustawy z dnia 9 października 2015 roku o rewitalizacji (t.j Dz. U. z 2024 r. poz. 278)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Wyznacza się obszar zdegradowany i obszar rewitalizacji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Granice obszaru zdegradowanego i obszaru rewitalizacji określają załączniki stanowiące integralną część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po upływie 14 dni od dnia jej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Zalacznik1.pdf</w:t>
        </w:r>
      </w:hyperlink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Zalacznik2.pdf</w:t>
        </w:r>
      </w:hyperlink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Zalacznik3.pdf</w:t>
        </w:r>
      </w:hyperlink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Zalacznik4.pdf</w:t>
        </w:r>
      </w:hyperlink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t>Załącznik Nr 5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 Nr V/49/24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września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hyperlink r:id="rId13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auto"/>
            <w:sz w:val="24"/>
            <w:u w:val="none"/>
            <w:vertAlign w:val="baseline"/>
          </w:rPr>
          <w:t>Zalacznik5.pdf</w:t>
        </w:r>
      </w:hyperlink>
    </w:p>
    <w:sectPr>
      <w:footerReference w:type="default" r:id="rId14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B29875F8-5562-4BF1-AC62-87777F87B620.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hyperlink" Target="Zalacznik5.pdf" TargetMode="External" /><Relationship Id="rId14" Type="http://schemas.openxmlformats.org/officeDocument/2006/relationships/footer" Target="footer6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V/49/24 z dnia 19 września 2024 r.</dc:title>
  <dc:subject>w sprawie wyznaczenia obszaru zdegradowanego i^obszaru rewitalizacji Gminy Żabno.</dc:subject>
  <dc:creator>Mateusz Libera</dc:creator>
  <cp:lastModifiedBy>Mateusz Libera</cp:lastModifiedBy>
  <cp:revision>1</cp:revision>
  <dcterms:created xsi:type="dcterms:W3CDTF">2024-09-25T12:03:54Z</dcterms:created>
  <dcterms:modified xsi:type="dcterms:W3CDTF">2024-09-25T12:03:54Z</dcterms:modified>
  <cp:category>Akt prawny</cp:category>
</cp:coreProperties>
</file>